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CC0A11E" w:rsidR="00F110CD" w:rsidRPr="00C84F38" w:rsidRDefault="00F110CD" w:rsidP="130AD5B3">
      <w:pPr>
        <w:pStyle w:val="Header"/>
        <w:tabs>
          <w:tab w:val="right" w:pos="9639"/>
        </w:tabs>
        <w:rPr>
          <w:noProof w:val="0"/>
          <w:sz w:val="24"/>
          <w:szCs w:val="24"/>
        </w:rPr>
      </w:pPr>
      <w:r w:rsidRPr="130AD5B3">
        <w:rPr>
          <w:noProof w:val="0"/>
          <w:sz w:val="24"/>
          <w:szCs w:val="24"/>
        </w:rPr>
        <w:t>3GPP TSG RA</w:t>
      </w:r>
      <w:r w:rsidR="0077316B" w:rsidRPr="130AD5B3">
        <w:rPr>
          <w:noProof w:val="0"/>
          <w:sz w:val="24"/>
          <w:szCs w:val="24"/>
        </w:rPr>
        <w:t>N WG1 Meeting #</w:t>
      </w:r>
      <w:r w:rsidR="007039B8" w:rsidRPr="130AD5B3">
        <w:rPr>
          <w:noProof w:val="0"/>
          <w:sz w:val="24"/>
          <w:szCs w:val="24"/>
        </w:rPr>
        <w:t>AH-1901</w:t>
      </w:r>
      <w:r w:rsidR="001348FE">
        <w:rPr>
          <w:bCs/>
          <w:noProof w:val="0"/>
          <w:sz w:val="24"/>
          <w:szCs w:val="24"/>
        </w:rPr>
        <w:tab/>
      </w:r>
      <w:r w:rsidR="001348FE" w:rsidRPr="130AD5B3">
        <w:rPr>
          <w:noProof w:val="0"/>
          <w:sz w:val="24"/>
          <w:szCs w:val="24"/>
        </w:rPr>
        <w:t>R1-19</w:t>
      </w:r>
      <w:r w:rsidR="00B73475">
        <w:rPr>
          <w:noProof w:val="0"/>
          <w:sz w:val="24"/>
          <w:szCs w:val="24"/>
        </w:rPr>
        <w:t>01024</w:t>
      </w:r>
    </w:p>
    <w:p w14:paraId="30E02940" w14:textId="61FF955D" w:rsidR="00CA26CE" w:rsidRDefault="00C278AF" w:rsidP="00CA26CE">
      <w:pPr>
        <w:pStyle w:val="Header"/>
        <w:rPr>
          <w:bCs/>
          <w:noProof w:val="0"/>
          <w:sz w:val="24"/>
          <w:szCs w:val="24"/>
        </w:rPr>
      </w:pPr>
      <w:r>
        <w:rPr>
          <w:bCs/>
          <w:noProof w:val="0"/>
          <w:sz w:val="24"/>
          <w:szCs w:val="24"/>
        </w:rPr>
        <w:t>Taipei</w:t>
      </w:r>
      <w:r w:rsidR="00BB2F36">
        <w:rPr>
          <w:bCs/>
          <w:noProof w:val="0"/>
          <w:sz w:val="24"/>
          <w:szCs w:val="24"/>
        </w:rPr>
        <w:t>,</w:t>
      </w:r>
      <w:r>
        <w:rPr>
          <w:bCs/>
          <w:noProof w:val="0"/>
          <w:sz w:val="24"/>
          <w:szCs w:val="24"/>
        </w:rPr>
        <w:t xml:space="preserve"> Taiwan</w:t>
      </w:r>
      <w:r w:rsidR="00BA5392">
        <w:rPr>
          <w:bCs/>
          <w:noProof w:val="0"/>
          <w:sz w:val="24"/>
          <w:szCs w:val="24"/>
        </w:rPr>
        <w:t>,</w:t>
      </w:r>
      <w:r w:rsidR="00BB2F36">
        <w:rPr>
          <w:bCs/>
          <w:noProof w:val="0"/>
          <w:sz w:val="24"/>
          <w:szCs w:val="24"/>
        </w:rPr>
        <w:t xml:space="preserve"> </w:t>
      </w:r>
      <w:r>
        <w:rPr>
          <w:bCs/>
          <w:noProof w:val="0"/>
          <w:sz w:val="24"/>
          <w:szCs w:val="24"/>
        </w:rPr>
        <w:t>January 21 – 25, 2019</w:t>
      </w:r>
    </w:p>
    <w:p w14:paraId="2CFE1919" w14:textId="77777777" w:rsidR="00850D96" w:rsidRPr="00850D96" w:rsidRDefault="00850D96" w:rsidP="00CA26CE">
      <w:pPr>
        <w:pStyle w:val="Header"/>
        <w:rPr>
          <w:bCs/>
          <w:noProof w:val="0"/>
          <w:sz w:val="24"/>
          <w:lang w:val="en-GB" w:eastAsia="ja-JP"/>
        </w:rPr>
      </w:pPr>
    </w:p>
    <w:p w14:paraId="30E02941" w14:textId="4814DC90" w:rsidR="0034111C" w:rsidRPr="001E5981" w:rsidRDefault="0034111C" w:rsidP="4F8D0A4D">
      <w:pPr>
        <w:pStyle w:val="CRCoverPage"/>
        <w:rPr>
          <w:rFonts w:cs="Arial"/>
          <w:b/>
          <w:bCs/>
          <w:sz w:val="24"/>
          <w:szCs w:val="24"/>
          <w:lang w:val="en-US" w:eastAsia="ja-JP"/>
        </w:rPr>
      </w:pPr>
      <w:r w:rsidRPr="00BD2F13">
        <w:rPr>
          <w:rFonts w:cs="Arial"/>
          <w:b/>
          <w:bCs/>
          <w:sz w:val="24"/>
          <w:szCs w:val="24"/>
        </w:rPr>
        <w:t xml:space="preserve">Agenda item: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2.10.1</w:t>
      </w:r>
      <w:r w:rsidR="00C97BB6">
        <w:rPr>
          <w:rFonts w:cs="Arial"/>
          <w:b/>
          <w:bCs/>
          <w:sz w:val="24"/>
          <w:szCs w:val="24"/>
        </w:rPr>
        <w:t>.3</w:t>
      </w:r>
      <w:r w:rsidR="004F0E18">
        <w:rPr>
          <w:rFonts w:cs="Arial"/>
          <w:b/>
          <w:bCs/>
          <w:sz w:val="24"/>
          <w:szCs w:val="24"/>
        </w:rPr>
        <w:t xml:space="preserve"> </w:t>
      </w:r>
    </w:p>
    <w:p w14:paraId="30E02942" w14:textId="4D9F86C9" w:rsidR="00E128F2" w:rsidRPr="001E5981" w:rsidRDefault="0034111C" w:rsidP="4F8D0A4D">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 xml:space="preserve">Source: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173770D" w:rsidR="0034111C" w:rsidRPr="0016316A" w:rsidRDefault="0034111C" w:rsidP="4F8D0A4D">
      <w:pPr>
        <w:ind w:left="1985" w:hanging="1985"/>
        <w:rPr>
          <w:rFonts w:ascii="Arial" w:hAnsi="Arial" w:cs="Arial"/>
          <w:b/>
          <w:bCs/>
          <w:sz w:val="24"/>
          <w:szCs w:val="24"/>
        </w:rPr>
      </w:pPr>
      <w:r w:rsidRPr="3E61DC49">
        <w:rPr>
          <w:rFonts w:ascii="Arial" w:hAnsi="Arial" w:cs="Arial"/>
          <w:b/>
          <w:bCs/>
          <w:sz w:val="24"/>
          <w:szCs w:val="24"/>
        </w:rPr>
        <w:t xml:space="preserve">Title: </w:t>
      </w:r>
      <w:r w:rsidRPr="0016316A">
        <w:rPr>
          <w:rFonts w:ascii="Arial" w:hAnsi="Arial" w:cs="Arial"/>
          <w:b/>
          <w:bCs/>
          <w:sz w:val="24"/>
        </w:rPr>
        <w:tab/>
      </w:r>
      <w:r w:rsidR="00C278AF" w:rsidRPr="4F8D0A4D">
        <w:rPr>
          <w:rFonts w:ascii="Arial" w:hAnsi="Arial" w:cs="Arial"/>
          <w:b/>
          <w:bCs/>
          <w:sz w:val="24"/>
          <w:szCs w:val="24"/>
        </w:rPr>
        <w:t>Pote</w:t>
      </w:r>
      <w:r w:rsidR="00BB11D3" w:rsidRPr="4F8D0A4D">
        <w:rPr>
          <w:rFonts w:ascii="Arial" w:hAnsi="Arial" w:cs="Arial"/>
          <w:b/>
          <w:bCs/>
          <w:sz w:val="24"/>
          <w:szCs w:val="24"/>
        </w:rPr>
        <w:t xml:space="preserve">ntial Positioning Techniques </w:t>
      </w:r>
      <w:r w:rsidR="00C97BB6" w:rsidRPr="4F8D0A4D">
        <w:rPr>
          <w:rFonts w:ascii="Arial" w:hAnsi="Arial" w:cs="Arial"/>
          <w:b/>
          <w:bCs/>
          <w:sz w:val="24"/>
          <w:szCs w:val="24"/>
        </w:rPr>
        <w:t>–</w:t>
      </w:r>
      <w:r w:rsidR="00BB11D3" w:rsidRPr="4F8D0A4D">
        <w:rPr>
          <w:rFonts w:ascii="Arial" w:hAnsi="Arial" w:cs="Arial"/>
          <w:b/>
          <w:bCs/>
          <w:sz w:val="24"/>
          <w:szCs w:val="24"/>
        </w:rPr>
        <w:t xml:space="preserve"> </w:t>
      </w:r>
      <w:r w:rsidR="00C97BB6" w:rsidRPr="4F8D0A4D">
        <w:rPr>
          <w:rFonts w:ascii="Arial" w:hAnsi="Arial" w:cs="Arial"/>
          <w:b/>
          <w:bCs/>
          <w:sz w:val="24"/>
          <w:szCs w:val="24"/>
        </w:rPr>
        <w:t>DL+</w:t>
      </w:r>
      <w:r w:rsidR="00BB11D3" w:rsidRPr="4F8D0A4D">
        <w:rPr>
          <w:rFonts w:ascii="Arial" w:hAnsi="Arial" w:cs="Arial"/>
          <w:b/>
          <w:bCs/>
          <w:sz w:val="24"/>
          <w:szCs w:val="24"/>
        </w:rPr>
        <w:t>U</w:t>
      </w:r>
      <w:r w:rsidR="00C278AF" w:rsidRPr="4F8D0A4D">
        <w:rPr>
          <w:rFonts w:ascii="Arial" w:hAnsi="Arial" w:cs="Arial"/>
          <w:b/>
          <w:bCs/>
          <w:sz w:val="24"/>
          <w:szCs w:val="24"/>
        </w:rPr>
        <w:t xml:space="preserve">L based solutions </w:t>
      </w:r>
    </w:p>
    <w:p w14:paraId="30E02944" w14:textId="2D5CF3BE" w:rsidR="0034111C" w:rsidRPr="0016316A" w:rsidRDefault="0034111C" w:rsidP="4F8D0A4D">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 xml:space="preserve">for: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17B68BEE" w:rsidR="00212950" w:rsidRDefault="004F0E18" w:rsidP="00A64A6E">
      <w:bookmarkStart w:id="0" w:name="_Hlk510705081"/>
      <w:r>
        <w:t>Work on the current study item on positioning support in NR</w:t>
      </w:r>
      <w:r w:rsidR="00E42B0A">
        <w:t xml:space="preserve"> [1</w:t>
      </w:r>
      <w:r>
        <w:t xml:space="preserve">] </w:t>
      </w:r>
      <w:r w:rsidR="009B5F04">
        <w:t xml:space="preserve">continued </w:t>
      </w:r>
      <w:r w:rsidR="00BB69FA">
        <w:t>at RAN1#95</w:t>
      </w:r>
      <w:r>
        <w:t xml:space="preserve"> </w:t>
      </w:r>
      <w:r w:rsidR="009B5F04">
        <w:t xml:space="preserve">and </w:t>
      </w:r>
      <w:r w:rsidR="00BB69FA">
        <w:t>identified candidate techniques</w:t>
      </w:r>
      <w:r w:rsidR="009B5F04">
        <w:t xml:space="preserve"> for study</w:t>
      </w:r>
      <w:r w:rsidR="00BB69FA">
        <w:t xml:space="preserve">. </w:t>
      </w:r>
      <w:r w:rsidR="009B5F04">
        <w:t xml:space="preserve">The focus of the work has been on RAT-dependent solutions. </w:t>
      </w:r>
      <w:r w:rsidR="00BB69FA">
        <w:t xml:space="preserve">DL, UL, and DL+UL based solutions were listed and agreed to be candidates for </w:t>
      </w:r>
      <w:r w:rsidR="009B5F04">
        <w:t xml:space="preserve">RAT-dependent </w:t>
      </w:r>
      <w:r w:rsidR="00BB69FA">
        <w:t xml:space="preserve">positioning </w:t>
      </w:r>
      <w:r w:rsidR="009B5F04">
        <w:t xml:space="preserve">solutions </w:t>
      </w:r>
      <w:r w:rsidR="00BB69FA">
        <w:t>in NR. Th</w:t>
      </w:r>
      <w:r w:rsidR="00BB11D3">
        <w:t xml:space="preserve">is contribution focuses on the </w:t>
      </w:r>
      <w:r w:rsidR="0091519B">
        <w:t>DL+</w:t>
      </w:r>
      <w:r w:rsidR="00BB11D3">
        <w:t>U</w:t>
      </w:r>
      <w:r w:rsidR="00BB69FA">
        <w:t>L based solutions. See our companion contributions [2] a</w:t>
      </w:r>
      <w:r w:rsidR="00BB11D3">
        <w:t>nd [3] for Nokia’s view on the D</w:t>
      </w:r>
      <w:r w:rsidR="0091519B">
        <w:t xml:space="preserve">L and </w:t>
      </w:r>
      <w:r w:rsidR="00BB69FA">
        <w:t xml:space="preserve">UL based solutions respectively. At RAN1#95 </w:t>
      </w:r>
      <w:r>
        <w:t xml:space="preserve">the following agreements were made with regard to </w:t>
      </w:r>
      <w:r w:rsidR="0091519B">
        <w:t>DL+</w:t>
      </w:r>
      <w:r w:rsidR="00BB11D3">
        <w:t>U</w:t>
      </w:r>
      <w:r w:rsidR="00BB69FA">
        <w:t>L solutions</w:t>
      </w:r>
      <w:r>
        <w:t xml:space="preserve"> on NR positioning studies</w:t>
      </w:r>
      <w:r w:rsidR="00BB69FA">
        <w:t xml:space="preserve"> take from [4</w:t>
      </w:r>
      <w:r w:rsidR="00465DBD">
        <w:t>]</w:t>
      </w:r>
      <w:r>
        <w:t>:</w:t>
      </w:r>
    </w:p>
    <w:p w14:paraId="7C3F6B15" w14:textId="77777777" w:rsidR="0091519B" w:rsidRDefault="0091519B" w:rsidP="0091519B">
      <w:pPr>
        <w:rPr>
          <w:lang w:val="en-US" w:eastAsia="x-none"/>
        </w:rPr>
      </w:pPr>
      <w:r w:rsidRPr="00C13963">
        <w:rPr>
          <w:highlight w:val="green"/>
          <w:lang w:val="en-US" w:eastAsia="x-none"/>
        </w:rPr>
        <w:t>Agreement:</w:t>
      </w:r>
    </w:p>
    <w:p w14:paraId="27FBFDCA" w14:textId="77777777" w:rsidR="0091519B" w:rsidRPr="00C13963" w:rsidRDefault="0091519B" w:rsidP="0091519B">
      <w:pPr>
        <w:rPr>
          <w:lang w:eastAsia="x-none"/>
        </w:rPr>
      </w:pPr>
      <w:r>
        <w:rPr>
          <w:lang w:eastAsia="x-none"/>
        </w:rPr>
        <w:t>T</w:t>
      </w:r>
      <w:r w:rsidRPr="00C13963">
        <w:rPr>
          <w:lang w:eastAsia="x-none"/>
        </w:rPr>
        <w:t>he following candidate techniques are considered for study of DL and UL positioning:</w:t>
      </w:r>
    </w:p>
    <w:p w14:paraId="0943FD49" w14:textId="77777777" w:rsidR="0091519B" w:rsidRDefault="0091519B" w:rsidP="0091519B">
      <w:pPr>
        <w:numPr>
          <w:ilvl w:val="0"/>
          <w:numId w:val="23"/>
        </w:numPr>
        <w:overflowPunct/>
        <w:autoSpaceDE/>
        <w:autoSpaceDN/>
        <w:adjustRightInd/>
        <w:spacing w:after="0"/>
        <w:textAlignment w:val="auto"/>
        <w:rPr>
          <w:lang w:val="en-US" w:eastAsia="x-none"/>
        </w:rPr>
      </w:pPr>
      <w:r w:rsidRPr="00C13963">
        <w:rPr>
          <w:lang w:val="en-US" w:eastAsia="x-none"/>
        </w:rPr>
        <w:t>Timing based techniques</w:t>
      </w:r>
    </w:p>
    <w:p w14:paraId="10589744" w14:textId="77777777" w:rsidR="0091519B" w:rsidRDefault="0091519B" w:rsidP="0091519B">
      <w:pPr>
        <w:numPr>
          <w:ilvl w:val="1"/>
          <w:numId w:val="23"/>
        </w:numPr>
        <w:overflowPunct/>
        <w:autoSpaceDE/>
        <w:autoSpaceDN/>
        <w:adjustRightInd/>
        <w:spacing w:after="0"/>
        <w:textAlignment w:val="auto"/>
        <w:rPr>
          <w:lang w:val="en-US" w:eastAsia="x-none"/>
        </w:rPr>
      </w:pPr>
      <w:r w:rsidRPr="00C13963">
        <w:rPr>
          <w:lang w:val="en-US" w:eastAsia="x-none"/>
        </w:rPr>
        <w:t>Round trip time measurement including support for multiple TRPs</w:t>
      </w:r>
    </w:p>
    <w:p w14:paraId="31AFB298" w14:textId="77777777" w:rsidR="0091519B" w:rsidRDefault="0091519B" w:rsidP="0091519B">
      <w:pPr>
        <w:numPr>
          <w:ilvl w:val="0"/>
          <w:numId w:val="23"/>
        </w:numPr>
        <w:overflowPunct/>
        <w:autoSpaceDE/>
        <w:autoSpaceDN/>
        <w:adjustRightInd/>
        <w:spacing w:after="0"/>
        <w:textAlignment w:val="auto"/>
        <w:rPr>
          <w:lang w:val="en-US" w:eastAsia="x-none"/>
        </w:rPr>
      </w:pPr>
      <w:r w:rsidRPr="00C13963">
        <w:rPr>
          <w:lang w:val="en-US" w:eastAsia="x-none"/>
        </w:rPr>
        <w:t>Combination of DL and UL techniques for NR positioning</w:t>
      </w:r>
    </w:p>
    <w:p w14:paraId="3C632F1C" w14:textId="77777777" w:rsidR="0091519B" w:rsidRPr="00C13963" w:rsidRDefault="0091519B" w:rsidP="0091519B">
      <w:pPr>
        <w:numPr>
          <w:ilvl w:val="1"/>
          <w:numId w:val="23"/>
        </w:numPr>
        <w:overflowPunct/>
        <w:autoSpaceDE/>
        <w:autoSpaceDN/>
        <w:adjustRightInd/>
        <w:spacing w:after="0"/>
        <w:textAlignment w:val="auto"/>
        <w:rPr>
          <w:lang w:val="en-US" w:eastAsia="x-none"/>
        </w:rPr>
      </w:pPr>
      <w:r w:rsidRPr="00C13963">
        <w:rPr>
          <w:lang w:val="en-US" w:eastAsia="x-none"/>
        </w:rPr>
        <w:t>e.g. E-CID like techniques (including one or multiple cells)</w:t>
      </w:r>
    </w:p>
    <w:p w14:paraId="4062C245" w14:textId="77777777" w:rsidR="009B5F04" w:rsidRDefault="009B5F04" w:rsidP="00A64A6E"/>
    <w:p w14:paraId="71230483" w14:textId="36B9D395" w:rsidR="00305297" w:rsidRDefault="007820D0" w:rsidP="00A23DCA">
      <w:pPr>
        <w:pStyle w:val="Heading1"/>
      </w:pPr>
      <w:r>
        <w:t>Discussion</w:t>
      </w:r>
    </w:p>
    <w:bookmarkEnd w:id="0"/>
    <w:p w14:paraId="70F86649" w14:textId="6A4515C9" w:rsidR="00BC29B8" w:rsidRDefault="0091519B" w:rsidP="00BC29B8">
      <w:pPr>
        <w:pStyle w:val="Heading2"/>
      </w:pPr>
      <w:r>
        <w:t xml:space="preserve">Multi-cell Round Trip Time  </w:t>
      </w:r>
    </w:p>
    <w:p w14:paraId="2AA62675" w14:textId="5BC08E77" w:rsidR="0091519B" w:rsidRDefault="4F8D0A4D" w:rsidP="0091519B">
      <w:r>
        <w:t xml:space="preserve">One proposed positioning solution for NR is a multi-cell round trip time (RTT) based method [5-6]. RTT based methods have long been studied in the literature and WiFi, in IEEE 802.11-REVmc, uses similar ideas to do indoor positioning [7]. GERAN also standardized a RTT based positioning method [8] called MTA. </w:t>
      </w:r>
      <w:bookmarkStart w:id="1" w:name="_Hlk533752765"/>
      <w:bookmarkEnd w:id="1"/>
    </w:p>
    <w:p w14:paraId="25D839CA" w14:textId="58913E5E" w:rsidR="0091519B" w:rsidRDefault="4F8D0A4D" w:rsidP="0091519B">
      <w:r>
        <w:t>The general idea of a multi-cell RTT method is to estimate the RTT between a UE and multiple gNBs by transmitting and receiving signals between the necessary nodes. By using these RTT estimates, the distance between the UE and the gNB can also be estimated. Then, similar to other timing-based techniques (e.g. OTDOA and UTODA) a trilateration estimation algorithm can be used to estimate the position of the UE. The major advantage of using the RTT to estimate the distance between a UE and a gNB is that the timing estimation error caused by synchronization error is no longer a factor. Furthermore, the impact of synchronization error across gNBs can be also mitigated by multi-cell RTT.</w:t>
      </w:r>
    </w:p>
    <w:p w14:paraId="732DAE75" w14:textId="77777777" w:rsidR="0091519B" w:rsidRDefault="0091519B" w:rsidP="0091519B">
      <w:bookmarkStart w:id="2" w:name="_Hlk534704450"/>
      <w:r w:rsidRPr="00C97BB6">
        <w:rPr>
          <w:b/>
        </w:rPr>
        <w:t>Observation 1</w:t>
      </w:r>
      <w:r>
        <w:t xml:space="preserve">: RTT based methods do not suffer from errors caused by synchronization errors between UE, gNB(s), and cross gNBs.  </w:t>
      </w:r>
    </w:p>
    <w:bookmarkEnd w:id="2"/>
    <w:p w14:paraId="3A8AA18F" w14:textId="77777777" w:rsidR="0091519B" w:rsidRDefault="0091519B" w:rsidP="0091519B">
      <w:pPr>
        <w:jc w:val="both"/>
      </w:pPr>
      <w:r>
        <w:t>In certain commercial use cases, NR positioning may require stringent accuracy performance, which makes time synchronization across gNBs more challenging. One-way timing-based positioning technologies (e.g, OTDOA and UTDOA) can be significantly impacted by imperfect network synchronization. Multi-cell RTT can be considered in a such scenario with stringent positioning accuracy and imperfect network synchronization.</w:t>
      </w:r>
    </w:p>
    <w:p w14:paraId="7364C9E1" w14:textId="77777777" w:rsidR="0091519B" w:rsidRDefault="0091519B" w:rsidP="0091519B">
      <w:pPr>
        <w:jc w:val="both"/>
      </w:pPr>
      <w:r w:rsidRPr="00C97BB6">
        <w:rPr>
          <w:b/>
        </w:rPr>
        <w:t>Proposal 1</w:t>
      </w:r>
      <w:r>
        <w:t>: Multi-cell RTT should be studied in scenarios with stringent positioning accuracy and imperfect network synchronization.</w:t>
      </w:r>
    </w:p>
    <w:p w14:paraId="7CA1C242" w14:textId="77777777" w:rsidR="0091519B" w:rsidRDefault="0091519B" w:rsidP="0091519B">
      <w:r>
        <w:t xml:space="preserve">One drawback to a practical implementation of RTT based methods is the additional resources that it requires as you need an UL RS and a DL RS to make the timing estimation on. One possible way to think about multi-cell RTT is to implement both OTDOA and UTDOA. This would require a lot of network resources for one UE to position itself. If there are a small number of UEs that wish to position then lots of network resources need to be used for the DL portion </w:t>
      </w:r>
      <w:r>
        <w:lastRenderedPageBreak/>
        <w:t xml:space="preserve">(i.e., PRS transmission). If there are a large number of UEs then a large amount of UL signals would need to be received at multiple base stations (e.g., SRS). </w:t>
      </w:r>
    </w:p>
    <w:p w14:paraId="64A65230" w14:textId="77777777" w:rsidR="0091519B" w:rsidRDefault="087AA3FB" w:rsidP="0091519B">
      <w:r w:rsidRPr="087AA3FB">
        <w:rPr>
          <w:b/>
          <w:bCs/>
        </w:rPr>
        <w:t>Observation 2</w:t>
      </w:r>
      <w:r>
        <w:t>: At least the following potential issues should be taken into consideration when studying RTT based positioning methods:</w:t>
      </w:r>
    </w:p>
    <w:p w14:paraId="5BABF126" w14:textId="77777777" w:rsidR="0091519B" w:rsidRPr="00C97BB6" w:rsidRDefault="0091519B" w:rsidP="0091519B">
      <w:pPr>
        <w:pStyle w:val="ListParagraph"/>
        <w:numPr>
          <w:ilvl w:val="0"/>
          <w:numId w:val="24"/>
        </w:numPr>
        <w:spacing w:after="160" w:line="259" w:lineRule="auto"/>
        <w:rPr>
          <w:sz w:val="20"/>
        </w:rPr>
      </w:pPr>
      <w:r w:rsidRPr="00C97BB6">
        <w:rPr>
          <w:sz w:val="20"/>
        </w:rPr>
        <w:t>Resource overhead</w:t>
      </w:r>
    </w:p>
    <w:p w14:paraId="6E4F265A" w14:textId="77777777" w:rsidR="0091519B" w:rsidRPr="0068527B" w:rsidRDefault="0091519B" w:rsidP="0091519B">
      <w:pPr>
        <w:pStyle w:val="ListParagraph"/>
        <w:numPr>
          <w:ilvl w:val="0"/>
          <w:numId w:val="24"/>
        </w:numPr>
        <w:spacing w:after="160" w:line="259" w:lineRule="auto"/>
        <w:rPr>
          <w:sz w:val="20"/>
          <w:lang w:val="en-US"/>
        </w:rPr>
      </w:pPr>
      <w:r w:rsidRPr="0068527B">
        <w:rPr>
          <w:sz w:val="20"/>
          <w:lang w:val="en-US"/>
        </w:rPr>
        <w:t xml:space="preserve">Scalability with dense number of UEs </w:t>
      </w:r>
    </w:p>
    <w:p w14:paraId="6D7F4BF2" w14:textId="77777777" w:rsidR="0091519B" w:rsidRPr="0068527B" w:rsidRDefault="0091519B" w:rsidP="0091519B">
      <w:pPr>
        <w:pStyle w:val="ListParagraph"/>
        <w:numPr>
          <w:ilvl w:val="0"/>
          <w:numId w:val="24"/>
        </w:numPr>
        <w:spacing w:after="160" w:line="259" w:lineRule="auto"/>
        <w:rPr>
          <w:sz w:val="20"/>
          <w:lang w:val="en-US"/>
        </w:rPr>
      </w:pPr>
      <w:r w:rsidRPr="0068527B">
        <w:rPr>
          <w:sz w:val="20"/>
          <w:lang w:val="en-US"/>
        </w:rPr>
        <w:t>Hearability (in particular at FR2)</w:t>
      </w:r>
    </w:p>
    <w:p w14:paraId="4791697E" w14:textId="77777777" w:rsidR="0091519B" w:rsidRPr="00C97BB6" w:rsidRDefault="0091519B" w:rsidP="0091519B">
      <w:pPr>
        <w:pStyle w:val="ListParagraph"/>
        <w:numPr>
          <w:ilvl w:val="0"/>
          <w:numId w:val="24"/>
        </w:numPr>
        <w:spacing w:after="160" w:line="259" w:lineRule="auto"/>
        <w:rPr>
          <w:sz w:val="20"/>
        </w:rPr>
      </w:pPr>
      <w:r w:rsidRPr="00C97BB6">
        <w:rPr>
          <w:sz w:val="20"/>
        </w:rPr>
        <w:t xml:space="preserve">Latency concerns </w:t>
      </w:r>
    </w:p>
    <w:p w14:paraId="34CA6C40" w14:textId="1F7F8266" w:rsidR="0068527B" w:rsidRDefault="0068527B" w:rsidP="00B948DE">
      <w:pPr>
        <w:pStyle w:val="Heading2"/>
      </w:pPr>
      <w:r>
        <w:t>Enhanced Cell ID</w:t>
      </w:r>
    </w:p>
    <w:p w14:paraId="35820669" w14:textId="284810AB" w:rsidR="00B948DE" w:rsidRDefault="0068527B" w:rsidP="0068527B">
      <w:r>
        <w:t xml:space="preserve">Enhanced Cell-ID based positioning has been used at least since 2G, and different measurements have been used as enhancements. The categorization of measurements under E-CID positioning technique is always somewhat subjective, but at least the following enhancements have been considered </w:t>
      </w:r>
      <w:r w:rsidR="00D66F73">
        <w:t xml:space="preserve">or proposed </w:t>
      </w:r>
      <w:r>
        <w:t>under E-CID in the past:</w:t>
      </w:r>
    </w:p>
    <w:p w14:paraId="688393F3" w14:textId="37C5D09F" w:rsidR="0068527B" w:rsidRDefault="087AA3FB" w:rsidP="087AA3FB">
      <w:pPr>
        <w:pStyle w:val="ListParagraph"/>
        <w:numPr>
          <w:ilvl w:val="0"/>
          <w:numId w:val="24"/>
        </w:numPr>
        <w:rPr>
          <w:sz w:val="20"/>
          <w:szCs w:val="20"/>
          <w:lang w:val="en-US"/>
        </w:rPr>
      </w:pPr>
      <w:r w:rsidRPr="087AA3FB">
        <w:rPr>
          <w:sz w:val="20"/>
          <w:szCs w:val="20"/>
          <w:lang w:val="en-US"/>
        </w:rPr>
        <w:t>Round trip time measurement</w:t>
      </w:r>
      <w:r w:rsidR="00B73475">
        <w:rPr>
          <w:sz w:val="20"/>
          <w:szCs w:val="20"/>
          <w:lang w:val="en-US"/>
        </w:rPr>
        <w:t xml:space="preserve"> for the serving cell,</w:t>
      </w:r>
      <w:r w:rsidRPr="087AA3FB">
        <w:rPr>
          <w:sz w:val="20"/>
          <w:szCs w:val="20"/>
          <w:lang w:val="en-US"/>
        </w:rPr>
        <w:t xml:space="preserve"> that consists of two components:</w:t>
      </w:r>
    </w:p>
    <w:p w14:paraId="78D49083" w14:textId="7B81D445" w:rsidR="007E404B" w:rsidRDefault="007E404B" w:rsidP="007E404B">
      <w:pPr>
        <w:pStyle w:val="ListParagraph"/>
        <w:numPr>
          <w:ilvl w:val="1"/>
          <w:numId w:val="24"/>
        </w:numPr>
        <w:rPr>
          <w:sz w:val="20"/>
          <w:szCs w:val="20"/>
          <w:lang w:val="en-US"/>
        </w:rPr>
      </w:pPr>
      <w:r>
        <w:rPr>
          <w:sz w:val="20"/>
          <w:szCs w:val="20"/>
          <w:lang w:val="en-US"/>
        </w:rPr>
        <w:t>UE Rx-to-Tx time difference</w:t>
      </w:r>
      <w:r w:rsidR="00B73475">
        <w:rPr>
          <w:sz w:val="20"/>
          <w:szCs w:val="20"/>
          <w:lang w:val="en-US"/>
        </w:rPr>
        <w:t xml:space="preserve"> towards the serving cell</w:t>
      </w:r>
    </w:p>
    <w:p w14:paraId="11E0FFE8" w14:textId="5240BD3D" w:rsidR="007E404B" w:rsidRDefault="087AA3FB" w:rsidP="087AA3FB">
      <w:pPr>
        <w:pStyle w:val="ListParagraph"/>
        <w:numPr>
          <w:ilvl w:val="1"/>
          <w:numId w:val="24"/>
        </w:numPr>
        <w:rPr>
          <w:sz w:val="20"/>
          <w:szCs w:val="20"/>
          <w:lang w:val="en-US"/>
        </w:rPr>
      </w:pPr>
      <w:r w:rsidRPr="087AA3FB">
        <w:rPr>
          <w:sz w:val="20"/>
          <w:szCs w:val="20"/>
          <w:lang w:val="en-US"/>
        </w:rPr>
        <w:t>Base station Tx-to-RX time difference</w:t>
      </w:r>
      <w:r w:rsidR="00B73475">
        <w:rPr>
          <w:sz w:val="20"/>
          <w:szCs w:val="20"/>
          <w:lang w:val="en-US"/>
        </w:rPr>
        <w:t xml:space="preserve"> of the serving cell</w:t>
      </w:r>
    </w:p>
    <w:p w14:paraId="7CCEA5F6" w14:textId="5849B2FF" w:rsidR="0068527B" w:rsidRDefault="0068527B" w:rsidP="0068527B">
      <w:pPr>
        <w:pStyle w:val="ListParagraph"/>
        <w:numPr>
          <w:ilvl w:val="0"/>
          <w:numId w:val="24"/>
        </w:numPr>
        <w:rPr>
          <w:sz w:val="20"/>
          <w:szCs w:val="20"/>
          <w:lang w:val="en-US"/>
        </w:rPr>
      </w:pPr>
      <w:r>
        <w:rPr>
          <w:sz w:val="20"/>
          <w:szCs w:val="20"/>
          <w:lang w:val="en-US"/>
        </w:rPr>
        <w:t>Own cell Rx level as seen in the UE</w:t>
      </w:r>
    </w:p>
    <w:p w14:paraId="1E64CA5D" w14:textId="21AFB339" w:rsidR="0068527B" w:rsidRDefault="0068527B" w:rsidP="0068527B">
      <w:pPr>
        <w:pStyle w:val="ListParagraph"/>
        <w:numPr>
          <w:ilvl w:val="0"/>
          <w:numId w:val="24"/>
        </w:numPr>
        <w:rPr>
          <w:sz w:val="20"/>
          <w:szCs w:val="20"/>
          <w:lang w:val="en-US"/>
        </w:rPr>
      </w:pPr>
      <w:r>
        <w:rPr>
          <w:sz w:val="20"/>
          <w:szCs w:val="20"/>
          <w:lang w:val="en-US"/>
        </w:rPr>
        <w:t>Detected neighbouring cells and corresponding RX levels as seen by the UE</w:t>
      </w:r>
    </w:p>
    <w:p w14:paraId="62FB1098" w14:textId="26D556F0" w:rsidR="002765D3" w:rsidRDefault="0068527B" w:rsidP="00D66F73">
      <w:pPr>
        <w:pStyle w:val="ListParagraph"/>
        <w:numPr>
          <w:ilvl w:val="0"/>
          <w:numId w:val="24"/>
        </w:numPr>
        <w:rPr>
          <w:sz w:val="20"/>
          <w:szCs w:val="20"/>
          <w:lang w:val="en-US"/>
        </w:rPr>
      </w:pPr>
      <w:r>
        <w:rPr>
          <w:sz w:val="20"/>
          <w:szCs w:val="20"/>
          <w:lang w:val="en-US"/>
        </w:rPr>
        <w:t>Angle of Arrival of the UE’s uplink signal as seen by the base station</w:t>
      </w:r>
    </w:p>
    <w:p w14:paraId="6174ED28" w14:textId="0BC06336" w:rsidR="00D66F73" w:rsidRDefault="00D66F73" w:rsidP="00D66F73">
      <w:pPr>
        <w:rPr>
          <w:lang w:val="en-US"/>
        </w:rPr>
      </w:pPr>
    </w:p>
    <w:p w14:paraId="6EAACC35" w14:textId="4D16EE2F" w:rsidR="00D66F73" w:rsidRDefault="130AD5B3" w:rsidP="130AD5B3">
      <w:pPr>
        <w:rPr>
          <w:lang w:val="en-US"/>
        </w:rPr>
      </w:pPr>
      <w:r w:rsidRPr="130AD5B3">
        <w:rPr>
          <w:lang w:val="en-US"/>
        </w:rPr>
        <w:t>Obviously many, if not all of the above enhancements to CID positioning can be used with other RAT dependent positioning techniques, and thus the difficulty of hard categorization of what is an enhancement to CID positioning, and what is a building block for another positioning technique. However, the debate over such categorization may not be extremely fruitful, when important question lies on what is worth specifying. For some of these measurements NR brings an additional dimension of beamforming, calling for some of the measurements to be beam specific. This is not really an issue for RAN1 though, as the per-beam measurements are in place for other purposes already. Specifically, the own and neighbor cell Rx level measurements per beam are already defined for both SSB and CSI-RS in Rel-15 for NR, as well as the inter-RAT measurements for LTE. Inter-RAT LTE measurements include also the E-UTRAN RSTD measurement for LTE OTDOA:</w:t>
      </w:r>
    </w:p>
    <w:p w14:paraId="5533BDF6" w14:textId="641BE1E5" w:rsidR="001E163E" w:rsidRDefault="001E163E" w:rsidP="001E163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NR Rel-15 measurements applicable to E-CID</w:t>
      </w:r>
    </w:p>
    <w:tbl>
      <w:tblPr>
        <w:tblStyle w:val="TableGrid"/>
        <w:tblW w:w="0" w:type="auto"/>
        <w:jc w:val="center"/>
        <w:tblLook w:val="04A0" w:firstRow="1" w:lastRow="0" w:firstColumn="1" w:lastColumn="0" w:noHBand="0" w:noVBand="1"/>
      </w:tblPr>
      <w:tblGrid>
        <w:gridCol w:w="7508"/>
      </w:tblGrid>
      <w:tr w:rsidR="005F6315" w14:paraId="6C1B24B7" w14:textId="77777777" w:rsidTr="001E163E">
        <w:trPr>
          <w:jc w:val="center"/>
        </w:trPr>
        <w:tc>
          <w:tcPr>
            <w:tcW w:w="7508" w:type="dxa"/>
          </w:tcPr>
          <w:p w14:paraId="07B029A3" w14:textId="58BE4054" w:rsidR="001E163E" w:rsidRDefault="001E163E" w:rsidP="001E163E">
            <w:pPr>
              <w:pStyle w:val="TOC3"/>
              <w:ind w:left="2297" w:hanging="2297"/>
              <w:rPr>
                <w:rFonts w:asciiTheme="minorHAnsi" w:eastAsiaTheme="minorEastAsia" w:hAnsiTheme="minorHAnsi" w:cstheme="minorBidi"/>
                <w:sz w:val="22"/>
                <w:szCs w:val="22"/>
                <w:lang w:val="en-GB" w:eastAsia="en-GB"/>
              </w:rPr>
            </w:pPr>
            <w:r>
              <w:rPr>
                <w:b/>
              </w:rPr>
              <w:t>TS38.215 subclause</w:t>
            </w:r>
            <w:r>
              <w:rPr>
                <w:rFonts w:asciiTheme="minorHAnsi" w:eastAsiaTheme="minorEastAsia" w:hAnsiTheme="minorHAnsi" w:cstheme="minorBidi"/>
                <w:sz w:val="22"/>
                <w:szCs w:val="22"/>
                <w:lang w:val="en-GB" w:eastAsia="en-GB"/>
              </w:rPr>
              <w:tab/>
            </w:r>
            <w:r w:rsidRPr="001E163E">
              <w:rPr>
                <w:b/>
              </w:rPr>
              <w:t>Measurement</w:t>
            </w:r>
          </w:p>
          <w:p w14:paraId="685C77EA" w14:textId="322DA44E" w:rsidR="005F6315" w:rsidRDefault="005F6315" w:rsidP="001E163E">
            <w:pPr>
              <w:pStyle w:val="TOC3"/>
              <w:ind w:left="2297" w:hanging="2297"/>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p>
          <w:p w14:paraId="3E713A87" w14:textId="6087AB86" w:rsidR="005F6315" w:rsidRDefault="005F6315" w:rsidP="001E163E">
            <w:pPr>
              <w:pStyle w:val="TOC3"/>
              <w:ind w:left="2297" w:hanging="2297"/>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p>
          <w:p w14:paraId="18DF23D0" w14:textId="41D1D36A" w:rsidR="005F6315" w:rsidRDefault="005F6315" w:rsidP="001E163E">
            <w:pPr>
              <w:pStyle w:val="TOC3"/>
              <w:ind w:left="2297" w:hanging="2297"/>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p>
          <w:p w14:paraId="436DA313" w14:textId="06FC8FCC" w:rsidR="005F6315" w:rsidRDefault="005F6315" w:rsidP="001E163E">
            <w:pPr>
              <w:pStyle w:val="TOC3"/>
              <w:ind w:left="2297" w:hanging="2297"/>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p>
          <w:p w14:paraId="6015F8CD" w14:textId="584A2F4F" w:rsidR="005F6315" w:rsidRDefault="005F6315" w:rsidP="001E163E">
            <w:pPr>
              <w:pStyle w:val="TOC3"/>
              <w:ind w:left="2297" w:hanging="2297"/>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p>
          <w:p w14:paraId="45F6B5B3" w14:textId="3263D6F1" w:rsidR="005F6315" w:rsidRDefault="005F6315" w:rsidP="001E163E">
            <w:pPr>
              <w:pStyle w:val="TOC3"/>
              <w:ind w:left="2297" w:hanging="2297"/>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p>
          <w:p w14:paraId="2D4FEC2C" w14:textId="1B60D1AC" w:rsidR="005F6315" w:rsidRDefault="005F6315" w:rsidP="001E163E">
            <w:pPr>
              <w:pStyle w:val="TOC3"/>
              <w:ind w:left="2297" w:hanging="2297"/>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E-UTRAN</w:t>
            </w:r>
          </w:p>
          <w:p w14:paraId="7B413D5E" w14:textId="4390631F" w:rsidR="005F6315" w:rsidRPr="002B1139" w:rsidRDefault="005F6315" w:rsidP="001E163E">
            <w:pPr>
              <w:pStyle w:val="TOC3"/>
              <w:ind w:left="2297" w:hanging="2297"/>
              <w:rPr>
                <w:rFonts w:asciiTheme="minorHAnsi" w:eastAsiaTheme="minorEastAsia" w:hAnsiTheme="minorHAnsi" w:cstheme="minorBidi"/>
                <w:sz w:val="22"/>
                <w:szCs w:val="22"/>
                <w:lang w:val="fr-FR" w:eastAsia="en-GB"/>
              </w:rPr>
            </w:pPr>
            <w:r w:rsidRPr="002B1139">
              <w:rPr>
                <w:lang w:val="fr-FR"/>
              </w:rPr>
              <w:t>5.1.15</w:t>
            </w:r>
            <w:r w:rsidRPr="002B1139">
              <w:rPr>
                <w:rFonts w:asciiTheme="minorHAnsi" w:eastAsiaTheme="minorEastAsia" w:hAnsiTheme="minorHAnsi" w:cstheme="minorBidi"/>
                <w:sz w:val="22"/>
                <w:szCs w:val="22"/>
                <w:lang w:val="fr-FR" w:eastAsia="en-GB"/>
              </w:rPr>
              <w:tab/>
            </w:r>
            <w:r w:rsidRPr="002B1139">
              <w:rPr>
                <w:rFonts w:cs="Arial"/>
                <w:lang w:val="fr-FR"/>
              </w:rPr>
              <w:t>E-UTRA RSRP</w:t>
            </w:r>
          </w:p>
          <w:p w14:paraId="10DC3191" w14:textId="13395ECB" w:rsidR="005F6315" w:rsidRPr="002B1139" w:rsidRDefault="005F6315" w:rsidP="001E163E">
            <w:pPr>
              <w:pStyle w:val="TOC3"/>
              <w:ind w:left="2297" w:hanging="2297"/>
              <w:rPr>
                <w:rFonts w:asciiTheme="minorHAnsi" w:eastAsiaTheme="minorEastAsia" w:hAnsiTheme="minorHAnsi" w:cstheme="minorBidi"/>
                <w:sz w:val="22"/>
                <w:szCs w:val="22"/>
                <w:lang w:val="fr-FR" w:eastAsia="en-GB"/>
              </w:rPr>
            </w:pPr>
            <w:r w:rsidRPr="002B1139">
              <w:rPr>
                <w:lang w:val="fr-FR"/>
              </w:rPr>
              <w:t>5.1.16</w:t>
            </w:r>
            <w:r w:rsidRPr="002B1139">
              <w:rPr>
                <w:rFonts w:asciiTheme="minorHAnsi" w:eastAsiaTheme="minorEastAsia" w:hAnsiTheme="minorHAnsi" w:cstheme="minorBidi"/>
                <w:sz w:val="22"/>
                <w:szCs w:val="22"/>
                <w:lang w:val="fr-FR" w:eastAsia="en-GB"/>
              </w:rPr>
              <w:tab/>
            </w:r>
            <w:r w:rsidRPr="002B1139">
              <w:rPr>
                <w:rFonts w:cs="Arial"/>
                <w:lang w:val="fr-FR"/>
              </w:rPr>
              <w:t>E-UTRA RSRQ</w:t>
            </w:r>
          </w:p>
          <w:p w14:paraId="12C35EDE" w14:textId="6A0B56D8" w:rsidR="005F6315" w:rsidRPr="001E163E" w:rsidRDefault="005F6315" w:rsidP="001E163E">
            <w:pPr>
              <w:pStyle w:val="TOC3"/>
              <w:ind w:left="2297" w:hanging="2297"/>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p>
        </w:tc>
      </w:tr>
    </w:tbl>
    <w:p w14:paraId="11F2548E" w14:textId="77777777" w:rsidR="00BA5392" w:rsidRDefault="00BA5392" w:rsidP="00BA5392">
      <w:pPr>
        <w:rPr>
          <w:b/>
        </w:rPr>
      </w:pPr>
    </w:p>
    <w:p w14:paraId="0E6D5C60" w14:textId="22878547" w:rsidR="00BA5392" w:rsidRDefault="00BA5392" w:rsidP="00BA5392">
      <w:r w:rsidRPr="00C97BB6">
        <w:rPr>
          <w:b/>
        </w:rPr>
        <w:t xml:space="preserve">Observation </w:t>
      </w:r>
      <w:r>
        <w:rPr>
          <w:b/>
        </w:rPr>
        <w:t>3</w:t>
      </w:r>
      <w:r>
        <w:t>: NR Rel-15 specifies a number of measurements useful for E-CID positioning</w:t>
      </w:r>
      <w:r w:rsidR="00650A10">
        <w:t>.</w:t>
      </w:r>
      <w:r>
        <w:t xml:space="preserve">  </w:t>
      </w:r>
    </w:p>
    <w:p w14:paraId="130040BE" w14:textId="451C827A" w:rsidR="00D66F73" w:rsidRDefault="001E163E" w:rsidP="00D66F73">
      <w:pPr>
        <w:rPr>
          <w:lang w:val="en-US"/>
        </w:rPr>
      </w:pPr>
      <w:r>
        <w:rPr>
          <w:lang w:val="en-US"/>
        </w:rPr>
        <w:t>Based on what was specified in LTE, the additional measurements that should be considered for NR Rel-16 are at least:</w:t>
      </w:r>
    </w:p>
    <w:p w14:paraId="71C65D35" w14:textId="5DE55D1E" w:rsidR="001E163E" w:rsidRPr="001E163E" w:rsidRDefault="001E163E" w:rsidP="001E163E">
      <w:pPr>
        <w:pStyle w:val="ListParagraph"/>
        <w:numPr>
          <w:ilvl w:val="0"/>
          <w:numId w:val="24"/>
        </w:numPr>
        <w:rPr>
          <w:sz w:val="20"/>
          <w:szCs w:val="20"/>
          <w:lang w:val="en-US"/>
        </w:rPr>
      </w:pPr>
      <w:r w:rsidRPr="001E163E">
        <w:rPr>
          <w:sz w:val="20"/>
          <w:szCs w:val="20"/>
          <w:lang w:val="en-US"/>
        </w:rPr>
        <w:t>UE Rx-Tx time difference</w:t>
      </w:r>
    </w:p>
    <w:p w14:paraId="433226D5" w14:textId="3AE131FD" w:rsidR="001E163E" w:rsidRPr="001E163E" w:rsidRDefault="4E634DE7" w:rsidP="4E634DE7">
      <w:pPr>
        <w:pStyle w:val="ListParagraph"/>
        <w:numPr>
          <w:ilvl w:val="0"/>
          <w:numId w:val="24"/>
        </w:numPr>
        <w:rPr>
          <w:sz w:val="20"/>
          <w:szCs w:val="20"/>
          <w:lang w:val="en-US"/>
        </w:rPr>
      </w:pPr>
      <w:r w:rsidRPr="4E634DE7">
        <w:rPr>
          <w:sz w:val="20"/>
          <w:szCs w:val="20"/>
          <w:lang w:val="en-US"/>
        </w:rPr>
        <w:t>gNB Tx-Rx time difference</w:t>
      </w:r>
    </w:p>
    <w:p w14:paraId="77EE7689" w14:textId="393328DB" w:rsidR="001E163E" w:rsidRPr="00BA5392" w:rsidRDefault="001E163E" w:rsidP="001E163E">
      <w:pPr>
        <w:pStyle w:val="ListParagraph"/>
        <w:numPr>
          <w:ilvl w:val="0"/>
          <w:numId w:val="24"/>
        </w:numPr>
        <w:rPr>
          <w:lang w:val="en-US"/>
        </w:rPr>
      </w:pPr>
      <w:r>
        <w:rPr>
          <w:sz w:val="20"/>
          <w:szCs w:val="20"/>
          <w:lang w:val="en-US"/>
        </w:rPr>
        <w:t>Uplink Angle of Arrival, including elevation angle</w:t>
      </w:r>
    </w:p>
    <w:p w14:paraId="7AB33977" w14:textId="354870F5" w:rsidR="00BA5392" w:rsidRDefault="00BA5392" w:rsidP="00BA5392">
      <w:pPr>
        <w:rPr>
          <w:lang w:val="en-US"/>
        </w:rPr>
      </w:pPr>
    </w:p>
    <w:p w14:paraId="3857ED8E" w14:textId="48F885F1" w:rsidR="00BA5392" w:rsidRDefault="4E634DE7" w:rsidP="00BA5392">
      <w:pPr>
        <w:jc w:val="both"/>
      </w:pPr>
      <w:r w:rsidRPr="4E634DE7">
        <w:rPr>
          <w:b/>
          <w:bCs/>
        </w:rPr>
        <w:t>Proposal 2</w:t>
      </w:r>
      <w:r>
        <w:t>:</w:t>
      </w:r>
      <w:r w:rsidR="00B73475">
        <w:t xml:space="preserve"> Define the Enhanced Cell-ID positioning method in 3GPP Rel-16 by</w:t>
      </w:r>
      <w:r>
        <w:t xml:space="preserve"> i</w:t>
      </w:r>
      <w:r w:rsidR="00B73475">
        <w:t>ntroducing</w:t>
      </w:r>
      <w:r>
        <w:t xml:space="preserve"> measurements for UE Rx-Tx time difference, gNB Tx-Rx time difference and Angle of Arrival including elevation angle for NR.</w:t>
      </w:r>
    </w:p>
    <w:p w14:paraId="10445A01" w14:textId="480CC7E1" w:rsidR="00885580" w:rsidRDefault="007820D0" w:rsidP="00885580">
      <w:pPr>
        <w:pStyle w:val="Heading1"/>
      </w:pPr>
      <w:r>
        <w:lastRenderedPageBreak/>
        <w:t>Conclusion</w:t>
      </w:r>
    </w:p>
    <w:p w14:paraId="04633F47" w14:textId="77777777" w:rsidR="00650A10" w:rsidRDefault="00650A10" w:rsidP="00650A10">
      <w:r w:rsidRPr="00C97BB6">
        <w:rPr>
          <w:b/>
        </w:rPr>
        <w:t>Observation 1</w:t>
      </w:r>
      <w:r>
        <w:t xml:space="preserve">: RTT based methods do not suffer from errors caused by synchronization errors between UE, gNB(s), and cross gNBs.  </w:t>
      </w:r>
    </w:p>
    <w:p w14:paraId="21E57B00" w14:textId="77777777" w:rsidR="00650A10" w:rsidRDefault="00650A10" w:rsidP="00650A10">
      <w:pPr>
        <w:jc w:val="both"/>
      </w:pPr>
      <w:r w:rsidRPr="00C97BB6">
        <w:rPr>
          <w:b/>
        </w:rPr>
        <w:t>Proposal 1</w:t>
      </w:r>
      <w:r>
        <w:t>: Multi-cell RTT should be studied in scenarios with stringent positioning accuracy and imperfect network synchronization.</w:t>
      </w:r>
    </w:p>
    <w:p w14:paraId="2F47B08D" w14:textId="77777777" w:rsidR="00650A10" w:rsidRDefault="00650A10" w:rsidP="00650A10">
      <w:r w:rsidRPr="087AA3FB">
        <w:rPr>
          <w:b/>
          <w:bCs/>
        </w:rPr>
        <w:t>Observation 2</w:t>
      </w:r>
      <w:r>
        <w:t>: At least the following potential issues should be taken into consideration when studying RTT based positioning methods:</w:t>
      </w:r>
    </w:p>
    <w:p w14:paraId="6C4CCF30" w14:textId="77777777" w:rsidR="00650A10" w:rsidRPr="00C97BB6" w:rsidRDefault="00650A10" w:rsidP="00650A10">
      <w:pPr>
        <w:pStyle w:val="ListParagraph"/>
        <w:numPr>
          <w:ilvl w:val="0"/>
          <w:numId w:val="24"/>
        </w:numPr>
        <w:spacing w:after="160" w:line="259" w:lineRule="auto"/>
        <w:rPr>
          <w:sz w:val="20"/>
        </w:rPr>
      </w:pPr>
      <w:r w:rsidRPr="00C97BB6">
        <w:rPr>
          <w:sz w:val="20"/>
        </w:rPr>
        <w:t>Resource overhead</w:t>
      </w:r>
    </w:p>
    <w:p w14:paraId="59B54698" w14:textId="77777777" w:rsidR="00650A10" w:rsidRPr="0068527B" w:rsidRDefault="00650A10" w:rsidP="00650A10">
      <w:pPr>
        <w:pStyle w:val="ListParagraph"/>
        <w:numPr>
          <w:ilvl w:val="0"/>
          <w:numId w:val="24"/>
        </w:numPr>
        <w:spacing w:after="160" w:line="259" w:lineRule="auto"/>
        <w:rPr>
          <w:sz w:val="20"/>
          <w:lang w:val="en-US"/>
        </w:rPr>
      </w:pPr>
      <w:r w:rsidRPr="0068527B">
        <w:rPr>
          <w:sz w:val="20"/>
          <w:lang w:val="en-US"/>
        </w:rPr>
        <w:t xml:space="preserve">Scalability with dense number of UEs </w:t>
      </w:r>
    </w:p>
    <w:p w14:paraId="1A620D43" w14:textId="77777777" w:rsidR="00650A10" w:rsidRPr="0068527B" w:rsidRDefault="00650A10" w:rsidP="00650A10">
      <w:pPr>
        <w:pStyle w:val="ListParagraph"/>
        <w:numPr>
          <w:ilvl w:val="0"/>
          <w:numId w:val="24"/>
        </w:numPr>
        <w:spacing w:after="160" w:line="259" w:lineRule="auto"/>
        <w:rPr>
          <w:sz w:val="20"/>
          <w:lang w:val="en-US"/>
        </w:rPr>
      </w:pPr>
      <w:r w:rsidRPr="0068527B">
        <w:rPr>
          <w:sz w:val="20"/>
          <w:lang w:val="en-US"/>
        </w:rPr>
        <w:t>Hearability (in particular at FR2)</w:t>
      </w:r>
    </w:p>
    <w:p w14:paraId="3B569A1E" w14:textId="09A8B768" w:rsidR="00650A10" w:rsidRPr="00650A10" w:rsidRDefault="00650A10" w:rsidP="00885580">
      <w:pPr>
        <w:pStyle w:val="ListParagraph"/>
        <w:numPr>
          <w:ilvl w:val="0"/>
          <w:numId w:val="24"/>
        </w:numPr>
        <w:spacing w:after="160" w:line="259" w:lineRule="auto"/>
        <w:rPr>
          <w:sz w:val="20"/>
        </w:rPr>
      </w:pPr>
      <w:r w:rsidRPr="00C97BB6">
        <w:rPr>
          <w:sz w:val="20"/>
        </w:rPr>
        <w:t xml:space="preserve">Latency concerns </w:t>
      </w:r>
    </w:p>
    <w:p w14:paraId="7EF57C83" w14:textId="77777777" w:rsidR="00650A10" w:rsidRDefault="00650A10" w:rsidP="00650A10">
      <w:r w:rsidRPr="00C97BB6">
        <w:rPr>
          <w:b/>
        </w:rPr>
        <w:t xml:space="preserve">Observation </w:t>
      </w:r>
      <w:r>
        <w:rPr>
          <w:b/>
        </w:rPr>
        <w:t>3</w:t>
      </w:r>
      <w:r>
        <w:t xml:space="preserve">: NR Rel-15 specifies a number of measurements useful for E-CID positioning.  </w:t>
      </w:r>
    </w:p>
    <w:p w14:paraId="550526CD" w14:textId="77777777" w:rsidR="00650A10" w:rsidRDefault="00650A10" w:rsidP="00650A10">
      <w:pPr>
        <w:jc w:val="both"/>
      </w:pPr>
      <w:r w:rsidRPr="4E634DE7">
        <w:rPr>
          <w:b/>
          <w:bCs/>
        </w:rPr>
        <w:t>Proposal 2</w:t>
      </w:r>
      <w:r>
        <w:t>: Define the Enhanced Cell-ID positioning method in 3GPP Rel-16 by introducing measurements for UE Rx-Tx time difference, gNB Tx-Rx time difference and Angle of Arrival including elevation angle for NR.</w:t>
      </w:r>
    </w:p>
    <w:p w14:paraId="53CD9119" w14:textId="77777777" w:rsidR="00885580" w:rsidRPr="00ED1327" w:rsidRDefault="00885580" w:rsidP="00885580">
      <w:pPr>
        <w:pStyle w:val="Heading1"/>
        <w:numPr>
          <w:ilvl w:val="0"/>
          <w:numId w:val="0"/>
        </w:numPr>
      </w:pPr>
      <w:r>
        <w:t>References</w:t>
      </w:r>
    </w:p>
    <w:p w14:paraId="42585CD1" w14:textId="667F932D" w:rsidR="00366C1B" w:rsidRPr="00650A10" w:rsidRDefault="00E42B0A" w:rsidP="00E42B0A">
      <w:pPr>
        <w:pStyle w:val="ListParagraph"/>
        <w:numPr>
          <w:ilvl w:val="0"/>
          <w:numId w:val="12"/>
        </w:numPr>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 xml:space="preserve">Gold Coast, Australia, September </w:t>
      </w:r>
      <w:r w:rsidRPr="00650A10">
        <w:rPr>
          <w:sz w:val="20"/>
          <w:lang w:val="en-US"/>
        </w:rPr>
        <w:t>10-13, 2018.</w:t>
      </w:r>
    </w:p>
    <w:p w14:paraId="473E0C26" w14:textId="0A0F183A" w:rsidR="00BB69FA" w:rsidRPr="00790DB6" w:rsidRDefault="00790DB6" w:rsidP="00790DB6">
      <w:pPr>
        <w:pStyle w:val="ListParagraph"/>
        <w:numPr>
          <w:ilvl w:val="0"/>
          <w:numId w:val="12"/>
        </w:numPr>
        <w:rPr>
          <w:sz w:val="20"/>
          <w:szCs w:val="20"/>
          <w:lang w:val="en-US"/>
        </w:rPr>
      </w:pPr>
      <w:r w:rsidRPr="00790DB6">
        <w:rPr>
          <w:sz w:val="20"/>
          <w:szCs w:val="20"/>
          <w:lang w:val="en-US"/>
        </w:rPr>
        <w:t>R1-1901022, “Potential Positioning Techniques - DL based solutions”, Nokia, Nokia Shanghai Bell</w:t>
      </w:r>
    </w:p>
    <w:p w14:paraId="357B2082" w14:textId="6D22AF3E" w:rsidR="00BB69FA" w:rsidRPr="00790DB6" w:rsidRDefault="00790DB6" w:rsidP="00790DB6">
      <w:pPr>
        <w:pStyle w:val="ListParagraph"/>
        <w:numPr>
          <w:ilvl w:val="0"/>
          <w:numId w:val="12"/>
        </w:numPr>
        <w:rPr>
          <w:sz w:val="20"/>
          <w:szCs w:val="20"/>
          <w:lang w:val="en-US"/>
        </w:rPr>
      </w:pPr>
      <w:r w:rsidRPr="00790DB6">
        <w:rPr>
          <w:sz w:val="20"/>
          <w:szCs w:val="20"/>
          <w:lang w:val="en-US"/>
        </w:rPr>
        <w:t>R1-1901023</w:t>
      </w:r>
      <w:bookmarkStart w:id="3" w:name="_GoBack"/>
      <w:bookmarkEnd w:id="3"/>
      <w:r w:rsidRPr="00790DB6">
        <w:rPr>
          <w:sz w:val="20"/>
          <w:szCs w:val="20"/>
          <w:lang w:val="en-US"/>
        </w:rPr>
        <w:t>, “Potential Positioning Techniques - UL based solutions”, Nokia, Nokia Shanghai Bell</w:t>
      </w:r>
    </w:p>
    <w:p w14:paraId="64D47F02" w14:textId="017A72FF" w:rsidR="00B948DE" w:rsidRDefault="00465DBD" w:rsidP="0091519B">
      <w:pPr>
        <w:pStyle w:val="ListParagraph"/>
        <w:numPr>
          <w:ilvl w:val="0"/>
          <w:numId w:val="12"/>
        </w:numPr>
        <w:rPr>
          <w:sz w:val="20"/>
          <w:lang w:val="en-US"/>
        </w:rPr>
      </w:pPr>
      <w:r>
        <w:rPr>
          <w:sz w:val="20"/>
          <w:lang w:val="en-US"/>
        </w:rPr>
        <w:t>C</w:t>
      </w:r>
      <w:r w:rsidR="00D11D7B">
        <w:rPr>
          <w:sz w:val="20"/>
          <w:lang w:val="en-US"/>
        </w:rPr>
        <w:t>hairmen’s Notes, RAN1#95</w:t>
      </w:r>
      <w:r>
        <w:rPr>
          <w:sz w:val="20"/>
          <w:lang w:val="en-US"/>
        </w:rPr>
        <w:t xml:space="preserve">, </w:t>
      </w:r>
      <w:r w:rsidR="00D11D7B">
        <w:rPr>
          <w:sz w:val="20"/>
          <w:lang w:val="en-US"/>
        </w:rPr>
        <w:t>Spokane, Washington, USA</w:t>
      </w:r>
      <w:r>
        <w:rPr>
          <w:sz w:val="20"/>
          <w:lang w:val="en-US"/>
        </w:rPr>
        <w:t xml:space="preserve">, </w:t>
      </w:r>
      <w:r w:rsidR="00D11D7B">
        <w:rPr>
          <w:sz w:val="20"/>
          <w:lang w:val="en-US"/>
        </w:rPr>
        <w:t>November</w:t>
      </w:r>
      <w:r>
        <w:rPr>
          <w:sz w:val="20"/>
          <w:lang w:val="en-US"/>
        </w:rPr>
        <w:t>, 2018.</w:t>
      </w:r>
    </w:p>
    <w:p w14:paraId="2A379B96" w14:textId="1BA17B76" w:rsidR="0091519B" w:rsidRPr="0091519B" w:rsidRDefault="0091519B" w:rsidP="0091519B">
      <w:pPr>
        <w:pStyle w:val="ListParagraph"/>
        <w:numPr>
          <w:ilvl w:val="0"/>
          <w:numId w:val="12"/>
        </w:numPr>
        <w:rPr>
          <w:sz w:val="20"/>
          <w:lang w:val="en-US"/>
        </w:rPr>
      </w:pPr>
      <w:r w:rsidRPr="0091519B">
        <w:rPr>
          <w:sz w:val="20"/>
          <w:lang w:val="en-US"/>
        </w:rPr>
        <w:t>R1-1811287, "Considerations on NR Positioning using PRS", Qualcomm Incorporated.</w:t>
      </w:r>
    </w:p>
    <w:p w14:paraId="32589C5D" w14:textId="09BA2913" w:rsidR="0091519B" w:rsidRPr="0091519B" w:rsidRDefault="0091519B" w:rsidP="0091519B">
      <w:pPr>
        <w:pStyle w:val="ListParagraph"/>
        <w:numPr>
          <w:ilvl w:val="0"/>
          <w:numId w:val="12"/>
        </w:numPr>
        <w:rPr>
          <w:sz w:val="20"/>
          <w:lang w:val="en-US"/>
        </w:rPr>
      </w:pPr>
      <w:r w:rsidRPr="0091519B">
        <w:rPr>
          <w:sz w:val="20"/>
          <w:lang w:val="en-US"/>
        </w:rPr>
        <w:t>R2-1817899,  “Combined Downlink and Uplink NR Positioning Procedures”, RAN2#104, Qualcomm Incorporated.</w:t>
      </w:r>
    </w:p>
    <w:p w14:paraId="519A5EE7" w14:textId="399F864F" w:rsidR="0091519B" w:rsidRPr="0091519B" w:rsidRDefault="4F8D0A4D" w:rsidP="4F8D0A4D">
      <w:pPr>
        <w:pStyle w:val="ListParagraph"/>
        <w:numPr>
          <w:ilvl w:val="0"/>
          <w:numId w:val="12"/>
        </w:numPr>
        <w:rPr>
          <w:sz w:val="20"/>
          <w:szCs w:val="20"/>
          <w:lang w:val="en-US"/>
        </w:rPr>
      </w:pPr>
      <w:r w:rsidRPr="4F8D0A4D">
        <w:rPr>
          <w:sz w:val="20"/>
          <w:szCs w:val="20"/>
          <w:lang w:val="en-US"/>
        </w:rPr>
        <w:t xml:space="preserve">“Accurate Indoor Location for the IoT”, R. Want, W. Wang, and S. Chesnutt, IEEE Computer Society, 2018. </w:t>
      </w:r>
    </w:p>
    <w:p w14:paraId="7AB22E6B" w14:textId="55A31778" w:rsidR="4F8D0A4D" w:rsidRDefault="130AD5B3" w:rsidP="130AD5B3">
      <w:pPr>
        <w:pStyle w:val="ListParagraph"/>
        <w:numPr>
          <w:ilvl w:val="0"/>
          <w:numId w:val="12"/>
        </w:numPr>
        <w:rPr>
          <w:sz w:val="20"/>
          <w:szCs w:val="20"/>
          <w:lang w:val="en-US"/>
        </w:rPr>
      </w:pPr>
      <w:r w:rsidRPr="130AD5B3">
        <w:rPr>
          <w:sz w:val="20"/>
          <w:szCs w:val="20"/>
          <w:lang w:val="en-US"/>
        </w:rPr>
        <w:t xml:space="preserve">TS 43.059, Functional stage 2 description of Location Services (LCS) in GERAN. </w:t>
      </w:r>
    </w:p>
    <w:sectPr w:rsidR="4F8D0A4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DCD20" w14:textId="77777777" w:rsidR="00C325F4" w:rsidRDefault="00C325F4">
      <w:r>
        <w:separator/>
      </w:r>
    </w:p>
  </w:endnote>
  <w:endnote w:type="continuationSeparator" w:id="0">
    <w:p w14:paraId="5791836C" w14:textId="77777777" w:rsidR="00C325F4" w:rsidRDefault="00C3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38D1D" w14:textId="77777777" w:rsidR="00C325F4" w:rsidRDefault="00C325F4">
      <w:r>
        <w:separator/>
      </w:r>
    </w:p>
  </w:footnote>
  <w:footnote w:type="continuationSeparator" w:id="0">
    <w:p w14:paraId="66C856DA" w14:textId="77777777" w:rsidR="00C325F4" w:rsidRDefault="00C32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start w:val="1"/>
      <w:numFmt w:val="bullet"/>
      <w:lvlText w:val="o"/>
      <w:lvlJc w:val="left"/>
      <w:pPr>
        <w:ind w:left="1638" w:hanging="360"/>
      </w:pPr>
      <w:rPr>
        <w:rFonts w:ascii="Courier New" w:hAnsi="Courier New" w:cs="Courier New" w:hint="default"/>
      </w:rPr>
    </w:lvl>
    <w:lvl w:ilvl="2" w:tplc="04070005">
      <w:start w:val="1"/>
      <w:numFmt w:val="bullet"/>
      <w:lvlText w:val=""/>
      <w:lvlJc w:val="left"/>
      <w:pPr>
        <w:ind w:left="2358" w:hanging="360"/>
      </w:pPr>
      <w:rPr>
        <w:rFonts w:ascii="Wingdings" w:hAnsi="Wingdings" w:hint="default"/>
      </w:rPr>
    </w:lvl>
    <w:lvl w:ilvl="3" w:tplc="04070001">
      <w:start w:val="1"/>
      <w:numFmt w:val="bullet"/>
      <w:lvlText w:val=""/>
      <w:lvlJc w:val="left"/>
      <w:pPr>
        <w:ind w:left="3078" w:hanging="360"/>
      </w:pPr>
      <w:rPr>
        <w:rFonts w:ascii="Symbol" w:hAnsi="Symbol" w:hint="default"/>
      </w:rPr>
    </w:lvl>
    <w:lvl w:ilvl="4" w:tplc="04070003">
      <w:start w:val="1"/>
      <w:numFmt w:val="bullet"/>
      <w:lvlText w:val="o"/>
      <w:lvlJc w:val="left"/>
      <w:pPr>
        <w:ind w:left="3798" w:hanging="360"/>
      </w:pPr>
      <w:rPr>
        <w:rFonts w:ascii="Courier New" w:hAnsi="Courier New" w:cs="Courier New" w:hint="default"/>
      </w:rPr>
    </w:lvl>
    <w:lvl w:ilvl="5" w:tplc="04070005">
      <w:start w:val="1"/>
      <w:numFmt w:val="bullet"/>
      <w:lvlText w:val=""/>
      <w:lvlJc w:val="left"/>
      <w:pPr>
        <w:ind w:left="4518" w:hanging="360"/>
      </w:pPr>
      <w:rPr>
        <w:rFonts w:ascii="Wingdings" w:hAnsi="Wingdings" w:hint="default"/>
      </w:rPr>
    </w:lvl>
    <w:lvl w:ilvl="6" w:tplc="04070001">
      <w:start w:val="1"/>
      <w:numFmt w:val="bullet"/>
      <w:lvlText w:val=""/>
      <w:lvlJc w:val="left"/>
      <w:pPr>
        <w:ind w:left="5238" w:hanging="360"/>
      </w:pPr>
      <w:rPr>
        <w:rFonts w:ascii="Symbol" w:hAnsi="Symbol" w:hint="default"/>
      </w:rPr>
    </w:lvl>
    <w:lvl w:ilvl="7" w:tplc="04070003">
      <w:start w:val="1"/>
      <w:numFmt w:val="bullet"/>
      <w:lvlText w:val="o"/>
      <w:lvlJc w:val="left"/>
      <w:pPr>
        <w:ind w:left="5958" w:hanging="360"/>
      </w:pPr>
      <w:rPr>
        <w:rFonts w:ascii="Courier New" w:hAnsi="Courier New" w:cs="Courier New" w:hint="default"/>
      </w:rPr>
    </w:lvl>
    <w:lvl w:ilvl="8" w:tplc="04070005">
      <w:start w:val="1"/>
      <w:numFmt w:val="bullet"/>
      <w:lvlText w:val=""/>
      <w:lvlJc w:val="left"/>
      <w:pPr>
        <w:ind w:left="6678"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2"/>
  </w:num>
  <w:num w:numId="5">
    <w:abstractNumId w:val="11"/>
  </w:num>
  <w:num w:numId="6">
    <w:abstractNumId w:val="19"/>
  </w:num>
  <w:num w:numId="7">
    <w:abstractNumId w:val="13"/>
  </w:num>
  <w:num w:numId="8">
    <w:abstractNumId w:val="10"/>
  </w:num>
  <w:num w:numId="9">
    <w:abstractNumId w:val="22"/>
  </w:num>
  <w:num w:numId="10">
    <w:abstractNumId w:val="4"/>
  </w:num>
  <w:num w:numId="11">
    <w:abstractNumId w:val="15"/>
  </w:num>
  <w:num w:numId="12">
    <w:abstractNumId w:val="3"/>
  </w:num>
  <w:num w:numId="13">
    <w:abstractNumId w:val="7"/>
  </w:num>
  <w:num w:numId="14">
    <w:abstractNumId w:val="16"/>
  </w:num>
  <w:num w:numId="15">
    <w:abstractNumId w:val="12"/>
  </w:num>
  <w:num w:numId="16">
    <w:abstractNumId w:val="14"/>
  </w:num>
  <w:num w:numId="17">
    <w:abstractNumId w:val="1"/>
  </w:num>
  <w:num w:numId="18">
    <w:abstractNumId w:val="20"/>
  </w:num>
  <w:num w:numId="19">
    <w:abstractNumId w:val="17"/>
  </w:num>
  <w:num w:numId="20">
    <w:abstractNumId w:val="9"/>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42"/>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26"/>
    <w:rsid w:val="000C30CF"/>
    <w:rsid w:val="000C501D"/>
    <w:rsid w:val="000C5CBA"/>
    <w:rsid w:val="000C71A3"/>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289"/>
    <w:rsid w:val="001068D2"/>
    <w:rsid w:val="001069F2"/>
    <w:rsid w:val="00106C9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163E"/>
    <w:rsid w:val="001E24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4E1E"/>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5D3"/>
    <w:rsid w:val="00276736"/>
    <w:rsid w:val="00276F4E"/>
    <w:rsid w:val="0027773D"/>
    <w:rsid w:val="002815FA"/>
    <w:rsid w:val="002824C2"/>
    <w:rsid w:val="00284E32"/>
    <w:rsid w:val="002851EB"/>
    <w:rsid w:val="00285510"/>
    <w:rsid w:val="00285BD1"/>
    <w:rsid w:val="00285DE2"/>
    <w:rsid w:val="0028616D"/>
    <w:rsid w:val="00286965"/>
    <w:rsid w:val="00287B09"/>
    <w:rsid w:val="0029136E"/>
    <w:rsid w:val="00292399"/>
    <w:rsid w:val="00294445"/>
    <w:rsid w:val="002944F7"/>
    <w:rsid w:val="00294B4D"/>
    <w:rsid w:val="0029537E"/>
    <w:rsid w:val="002960D5"/>
    <w:rsid w:val="00297926"/>
    <w:rsid w:val="002A02C9"/>
    <w:rsid w:val="002A1062"/>
    <w:rsid w:val="002A2012"/>
    <w:rsid w:val="002A2413"/>
    <w:rsid w:val="002A2F5E"/>
    <w:rsid w:val="002A352A"/>
    <w:rsid w:val="002A54C7"/>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D91"/>
    <w:rsid w:val="00370FCC"/>
    <w:rsid w:val="003711AF"/>
    <w:rsid w:val="003735C6"/>
    <w:rsid w:val="00374848"/>
    <w:rsid w:val="003757A1"/>
    <w:rsid w:val="00375D09"/>
    <w:rsid w:val="003762DC"/>
    <w:rsid w:val="0037739D"/>
    <w:rsid w:val="0037751C"/>
    <w:rsid w:val="00380B66"/>
    <w:rsid w:val="00380F3F"/>
    <w:rsid w:val="00381953"/>
    <w:rsid w:val="00382232"/>
    <w:rsid w:val="003829D3"/>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1F0D"/>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C"/>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E18"/>
    <w:rsid w:val="004F1CD3"/>
    <w:rsid w:val="004F1EBC"/>
    <w:rsid w:val="004F20E8"/>
    <w:rsid w:val="004F3072"/>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7C"/>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4EF4"/>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1BAB"/>
    <w:rsid w:val="005E3073"/>
    <w:rsid w:val="005E316A"/>
    <w:rsid w:val="005E53DE"/>
    <w:rsid w:val="005E7088"/>
    <w:rsid w:val="005E79C1"/>
    <w:rsid w:val="005E7E1B"/>
    <w:rsid w:val="005F0108"/>
    <w:rsid w:val="005F0291"/>
    <w:rsid w:val="005F0ECC"/>
    <w:rsid w:val="005F21A5"/>
    <w:rsid w:val="005F2470"/>
    <w:rsid w:val="005F28C6"/>
    <w:rsid w:val="005F3F16"/>
    <w:rsid w:val="005F52CC"/>
    <w:rsid w:val="005F5E6F"/>
    <w:rsid w:val="005F6315"/>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1C"/>
    <w:rsid w:val="00645C9F"/>
    <w:rsid w:val="00646305"/>
    <w:rsid w:val="00646864"/>
    <w:rsid w:val="00646A6C"/>
    <w:rsid w:val="006475E6"/>
    <w:rsid w:val="006508B9"/>
    <w:rsid w:val="00650A10"/>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27B"/>
    <w:rsid w:val="006854D4"/>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B0D"/>
    <w:rsid w:val="00702D5A"/>
    <w:rsid w:val="00702EF7"/>
    <w:rsid w:val="00703571"/>
    <w:rsid w:val="00703989"/>
    <w:rsid w:val="007039B8"/>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B6"/>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04B"/>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B2D"/>
    <w:rsid w:val="00834358"/>
    <w:rsid w:val="008346BD"/>
    <w:rsid w:val="00834923"/>
    <w:rsid w:val="00834E97"/>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4009"/>
    <w:rsid w:val="00874158"/>
    <w:rsid w:val="008743F3"/>
    <w:rsid w:val="0087444A"/>
    <w:rsid w:val="00875139"/>
    <w:rsid w:val="00875410"/>
    <w:rsid w:val="008769BD"/>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09E"/>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20"/>
    <w:rsid w:val="009120A9"/>
    <w:rsid w:val="009134C3"/>
    <w:rsid w:val="0091519B"/>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511"/>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04"/>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5F"/>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42"/>
    <w:rsid w:val="00AD165F"/>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B73"/>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3475"/>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8DE"/>
    <w:rsid w:val="00B94BA7"/>
    <w:rsid w:val="00B94E0E"/>
    <w:rsid w:val="00B96413"/>
    <w:rsid w:val="00B97CA3"/>
    <w:rsid w:val="00BA1913"/>
    <w:rsid w:val="00BA2BC9"/>
    <w:rsid w:val="00BA4641"/>
    <w:rsid w:val="00BA4A54"/>
    <w:rsid w:val="00BA5392"/>
    <w:rsid w:val="00BA76A9"/>
    <w:rsid w:val="00BB0595"/>
    <w:rsid w:val="00BB11D3"/>
    <w:rsid w:val="00BB2F36"/>
    <w:rsid w:val="00BB3E2B"/>
    <w:rsid w:val="00BB5D1C"/>
    <w:rsid w:val="00BB6552"/>
    <w:rsid w:val="00BB65E0"/>
    <w:rsid w:val="00BB69FA"/>
    <w:rsid w:val="00BB6B9B"/>
    <w:rsid w:val="00BB754F"/>
    <w:rsid w:val="00BC0058"/>
    <w:rsid w:val="00BC07D4"/>
    <w:rsid w:val="00BC0A5D"/>
    <w:rsid w:val="00BC0BE3"/>
    <w:rsid w:val="00BC1AD9"/>
    <w:rsid w:val="00BC29B8"/>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278AF"/>
    <w:rsid w:val="00C30ABC"/>
    <w:rsid w:val="00C30B60"/>
    <w:rsid w:val="00C31FAA"/>
    <w:rsid w:val="00C325F4"/>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447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BB6"/>
    <w:rsid w:val="00C97CF9"/>
    <w:rsid w:val="00CA17DD"/>
    <w:rsid w:val="00CA1863"/>
    <w:rsid w:val="00CA1941"/>
    <w:rsid w:val="00CA26CE"/>
    <w:rsid w:val="00CA391D"/>
    <w:rsid w:val="00CA3ACD"/>
    <w:rsid w:val="00CA4F8B"/>
    <w:rsid w:val="00CA5445"/>
    <w:rsid w:val="00CA6DD1"/>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28E"/>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D7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6F73"/>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2B0A"/>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9C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572"/>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CE"/>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070"/>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EA7"/>
    <w:rsid w:val="087AA3FB"/>
    <w:rsid w:val="10E807B4"/>
    <w:rsid w:val="130AD5B3"/>
    <w:rsid w:val="141204DA"/>
    <w:rsid w:val="16512788"/>
    <w:rsid w:val="1A219784"/>
    <w:rsid w:val="1E21FF84"/>
    <w:rsid w:val="32975CEE"/>
    <w:rsid w:val="3E61DC49"/>
    <w:rsid w:val="3EAED0C5"/>
    <w:rsid w:val="4E634DE7"/>
    <w:rsid w:val="4F8D0A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55492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2898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501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3518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17367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5AIRPNAIUNRU-1830940522-4688</_dlc_DocId>
    <_dlc_DocIdUrl xmlns="71c5aaf6-e6ce-465b-b873-5148d2a4c105">
      <Url>https://nokia.sharepoint.com/sites/c5g/5gradio/_layouts/15/DocIdRedir.aspx?ID=5AIRPNAIUNRU-1830940522-4688</Url>
      <Description>5AIRPNAIUNRU-1830940522-4688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30D3C2A-4629-4D32-A9BD-41CA5358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2019-01-11T16:47:00Z</dcterms:created>
  <dcterms:modified xsi:type="dcterms:W3CDTF">2019-01-11T17:41:00Z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0ac60573-20e4-4987-86ec-832294e9c97e</vt:lpwstr>
  </property>
</Properties>
</file>